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70F5" w14:textId="5D267EEF" w:rsidR="009F4553" w:rsidRDefault="009F4553" w:rsidP="009F4553">
      <w:pPr>
        <w:spacing w:line="60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61"/>
          <w:szCs w:val="61"/>
          <w:lang w:eastAsia="uk-UA"/>
        </w:rPr>
      </w:pPr>
      <w:r w:rsidRPr="009F4553">
        <w:rPr>
          <w:rFonts w:ascii="Times New Roman" w:eastAsia="Times New Roman" w:hAnsi="Times New Roman" w:cs="Times New Roman"/>
          <w:color w:val="1D1D1B"/>
          <w:sz w:val="61"/>
          <w:szCs w:val="61"/>
          <w:lang w:eastAsia="uk-UA"/>
        </w:rPr>
        <w:t xml:space="preserve">Sector of prevention and </w:t>
      </w:r>
      <w:proofErr w:type="spellStart"/>
      <w:r w:rsidRPr="009F4553">
        <w:rPr>
          <w:rFonts w:ascii="Times New Roman" w:eastAsia="Times New Roman" w:hAnsi="Times New Roman" w:cs="Times New Roman"/>
          <w:color w:val="1D1D1B"/>
          <w:sz w:val="61"/>
          <w:szCs w:val="61"/>
          <w:lang w:eastAsia="uk-UA"/>
        </w:rPr>
        <w:t>detection</w:t>
      </w:r>
      <w:proofErr w:type="spellEnd"/>
      <w:r w:rsidRPr="009F4553">
        <w:rPr>
          <w:rFonts w:ascii="Times New Roman" w:eastAsia="Times New Roman" w:hAnsi="Times New Roman" w:cs="Times New Roman"/>
          <w:color w:val="1D1D1B"/>
          <w:sz w:val="61"/>
          <w:szCs w:val="61"/>
          <w:lang w:eastAsia="uk-UA"/>
        </w:rPr>
        <w:t xml:space="preserve"> of corruption</w:t>
      </w:r>
    </w:p>
    <w:p w14:paraId="433B0E3D" w14:textId="4B9E2588" w:rsidR="009F4553" w:rsidRPr="009F4553" w:rsidRDefault="009F4553" w:rsidP="009F4553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r w:rsidRPr="009F4553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Contacts:</w:t>
      </w:r>
    </w:p>
    <w:p w14:paraId="53EFB86F" w14:textId="244CEA03" w:rsidR="009F4553" w:rsidRDefault="009F4553" w:rsidP="009F4553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</w:pPr>
      <w:proofErr w:type="spellStart"/>
      <w:r w:rsidRPr="009F4553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Postal</w:t>
      </w:r>
      <w:proofErr w:type="spellEnd"/>
      <w:r w:rsidRPr="009F4553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9F4553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address</w:t>
      </w:r>
      <w:proofErr w:type="spellEnd"/>
      <w:r w:rsidRPr="009F455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:  31</w:t>
      </w:r>
      <w:r w:rsidRPr="009F455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val="en-US" w:eastAsia="uk-UA"/>
        </w:rPr>
        <w:t>,</w:t>
      </w:r>
      <w:r w:rsidRPr="009F455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proofErr w:type="spellStart"/>
      <w:r w:rsidRPr="009F455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Sholudenka</w:t>
      </w:r>
      <w:proofErr w:type="spellEnd"/>
      <w:r w:rsidRPr="009F455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proofErr w:type="spellStart"/>
      <w:r w:rsidRPr="009F455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Street</w:t>
      </w:r>
      <w:proofErr w:type="spellEnd"/>
      <w:r w:rsidRPr="009F4553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, Kyiv, 04116</w:t>
      </w:r>
    </w:p>
    <w:p w14:paraId="35BA4198" w14:textId="6DFE9B33" w:rsidR="009F4553" w:rsidRPr="009F4553" w:rsidRDefault="009F4553" w:rsidP="009F4553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4553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E-</w:t>
      </w:r>
      <w:proofErr w:type="spellStart"/>
      <w:r w:rsidRPr="009F4553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mail</w:t>
      </w:r>
      <w:proofErr w:type="spellEnd"/>
      <w:r w:rsidRPr="009F4553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: </w:t>
      </w:r>
      <w:hyperlink r:id="rId5" w:history="1">
        <w:r w:rsidRPr="009F4553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uk-UA"/>
          </w:rPr>
          <w:t>anticor@esbu.gov.ua</w:t>
        </w:r>
      </w:hyperlink>
    </w:p>
    <w:p w14:paraId="00FB4D05" w14:textId="3CEB55ED" w:rsidR="009F4553" w:rsidRPr="009F4553" w:rsidRDefault="009F4553" w:rsidP="009F4553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4553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Phone: (044) 236-1</w:t>
      </w:r>
      <w:r w:rsidRPr="009F4553">
        <w:rPr>
          <w:rFonts w:ascii="ProbaPro" w:eastAsia="Times New Roman" w:hAnsi="ProbaPro" w:cs="Times New Roman"/>
          <w:color w:val="000000"/>
          <w:sz w:val="27"/>
          <w:szCs w:val="27"/>
          <w:lang w:val="en-US" w:eastAsia="uk-UA"/>
        </w:rPr>
        <w:t>4</w:t>
      </w:r>
      <w:r w:rsidRPr="009F4553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-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en-US" w:eastAsia="uk-UA"/>
        </w:rPr>
        <w:t>06</w:t>
      </w:r>
      <w:r w:rsidRPr="009F4553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</w:t>
      </w:r>
    </w:p>
    <w:p w14:paraId="2B04EFA6" w14:textId="77777777" w:rsidR="009F4553" w:rsidRPr="00DD6379" w:rsidRDefault="009F4553" w:rsidP="009F4553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D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Tasks of the </w:t>
      </w:r>
      <w:proofErr w:type="spellStart"/>
      <w:r w:rsidRPr="00DD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department</w:t>
      </w:r>
      <w:proofErr w:type="spellEnd"/>
      <w:r w:rsidRPr="00DD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14:paraId="3EFB0B63" w14:textId="0D863C7F" w:rsidR="009F4553" w:rsidRPr="009F4553" w:rsidRDefault="009F4553" w:rsidP="00E47A52">
      <w:pPr>
        <w:spacing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• development, organization and control over the implementation of measures to prevent corruption offenses and offenses related to corruption;</w:t>
      </w:r>
    </w:p>
    <w:p w14:paraId="59AE635C" w14:textId="4F159916" w:rsidR="009F4553" w:rsidRPr="009F4553" w:rsidRDefault="009F4553" w:rsidP="00E47A52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organization of work on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assessment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corruption risks in the activities of the relevant body, preparation of measures to eliminate them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submission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relevant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proposals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to the head of such body;</w:t>
      </w:r>
    </w:p>
    <w:p w14:paraId="48C28DD1" w14:textId="7D469252" w:rsidR="009F4553" w:rsidRPr="009F4553" w:rsidRDefault="009F4553" w:rsidP="00E47A52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provision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methodical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consulting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assistance on issues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compliance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with legislation on prevention of corruption;</w:t>
      </w:r>
    </w:p>
    <w:p w14:paraId="72800A7B" w14:textId="03730AAB" w:rsidR="009F4553" w:rsidRPr="009F4553" w:rsidRDefault="009F4553" w:rsidP="00E47A52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taking measures to identify a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conflict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interest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facilitating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its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settlement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informing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the head of the relevant body and the National Agency about the identification of a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conflict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interest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the measures taken for its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settlement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12D7054E" w14:textId="585A48EB" w:rsidR="009F4553" w:rsidRPr="009F4553" w:rsidRDefault="009F4553" w:rsidP="00E47A52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verification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the fact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submission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declarations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by the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subjects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the declaration and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notification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the National Agency about cases of non-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submission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or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late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submission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such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declarations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the manner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determined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accordance with this Law;</w:t>
      </w:r>
    </w:p>
    <w:p w14:paraId="52C5BBFA" w14:textId="73B2B002" w:rsidR="009F4553" w:rsidRPr="009F4553" w:rsidRDefault="009F4553" w:rsidP="00E47A52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monitoring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compliance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with anti-corruption legislation, including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consideration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reports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violations of the requirements of this Law, including at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subordinate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enterprises, institutions and organizations;</w:t>
      </w:r>
    </w:p>
    <w:p w14:paraId="19170000" w14:textId="77777777" w:rsidR="00DD6379" w:rsidRPr="00DD6379" w:rsidRDefault="009F4553" w:rsidP="00E47A52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ensuring the protection of employees who reported violations of the requirements of this Law against the use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negative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influence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measures by the manager or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employer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accordance with the legislation on the protection of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whistleblowers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39293DD0" w14:textId="3F691119" w:rsidR="00B13C93" w:rsidRPr="00DD6379" w:rsidRDefault="009F4553" w:rsidP="00E47A52">
      <w:pPr>
        <w:spacing w:before="100" w:beforeAutospacing="1" w:after="225" w:line="40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 xml:space="preserve">•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informing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the head of the relevant body, the National Agency or other </w:t>
      </w:r>
      <w:proofErr w:type="spellStart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specially</w:t>
      </w:r>
      <w:proofErr w:type="spellEnd"/>
      <w:r w:rsidRPr="00DD637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authorized entities in the field of anti-corruption about the facts of violations of the legislation in the field of prevention and anti-corruption.</w:t>
      </w:r>
    </w:p>
    <w:sectPr w:rsidR="00B13C93" w:rsidRPr="00DD6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4CB7"/>
    <w:multiLevelType w:val="multilevel"/>
    <w:tmpl w:val="B19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759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53"/>
    <w:rsid w:val="009F4553"/>
    <w:rsid w:val="00B13C93"/>
    <w:rsid w:val="00DD6379"/>
    <w:rsid w:val="00E4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FA31"/>
  <w15:chartTrackingRefBased/>
  <w15:docId w15:val="{869E116F-34D7-4795-B982-89357D9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553"/>
    <w:rPr>
      <w:b/>
      <w:bCs/>
    </w:rPr>
  </w:style>
  <w:style w:type="paragraph" w:styleId="a4">
    <w:name w:val="Normal (Web)"/>
    <w:basedOn w:val="a"/>
    <w:uiPriority w:val="99"/>
    <w:semiHidden/>
    <w:unhideWhenUsed/>
    <w:rsid w:val="009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F45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4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or@esb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2023-02-22T14:53:00Z</dcterms:created>
  <dcterms:modified xsi:type="dcterms:W3CDTF">2023-02-22T16:16:00Z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2023-02-22T15:10:10Z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7dd76ea0-7e64-4a89-811d-42a3dc2974fe</vt:lpwstr>
  </property>
  <property fmtid="{D5CDD505-2E9C-101B-9397-08002B2CF9AE}" pid="8" name="MSIP_Label_defa4170-0d19-0005-0004-bc88714345d2_ContentBits">
    <vt:lpwstr>0</vt:lpwstr>
  </property>
</Properties>
</file>